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E5" w:rsidRDefault="008821FD">
      <w:pPr>
        <w:tabs>
          <w:tab w:val="left" w:pos="5856"/>
        </w:tabs>
      </w:pPr>
      <w:r>
        <w:rPr>
          <w:noProof/>
          <w:lang w:val="pt-BR" w:eastAsia="pt-BR"/>
        </w:rPr>
        <mc:AlternateContent>
          <mc:Choice Requires="wps">
            <w:drawing>
              <wp:anchor distT="0" distB="0" distL="0" distR="0" simplePos="0" relativeHeight="2" behindDoc="0" locked="0" layoutInCell="1" allowOverlap="1">
                <wp:simplePos x="0" y="0"/>
                <wp:positionH relativeFrom="column">
                  <wp:posOffset>4818380</wp:posOffset>
                </wp:positionH>
                <wp:positionV relativeFrom="paragraph">
                  <wp:posOffset>82550</wp:posOffset>
                </wp:positionV>
                <wp:extent cx="1383665" cy="394970"/>
                <wp:effectExtent l="0" t="0" r="0" b="0"/>
                <wp:wrapNone/>
                <wp:docPr id="1" name="Retângulo 1"/>
                <wp:cNvGraphicFramePr/>
                <a:graphic xmlns:a="http://schemas.openxmlformats.org/drawingml/2006/main">
                  <a:graphicData uri="http://schemas.microsoft.com/office/word/2010/wordprocessingShape">
                    <wps:wsp>
                      <wps:cNvSpPr/>
                      <wps:spPr>
                        <a:xfrm>
                          <a:off x="0" y="0"/>
                          <a:ext cx="1383120" cy="39420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6C5CE5" w:rsidRDefault="008821FD">
                            <w:pPr>
                              <w:pStyle w:val="Contedodoquadro"/>
                              <w:jc w:val="center"/>
                            </w:pPr>
                            <w:r>
                              <w:rPr>
                                <w:sz w:val="18"/>
                                <w:szCs w:val="18"/>
                              </w:rPr>
                              <w:t>CONEP- UFSJ</w:t>
                            </w:r>
                          </w:p>
                          <w:p w:rsidR="006C5CE5" w:rsidRDefault="008821FD">
                            <w:pPr>
                              <w:pStyle w:val="Contedodoquadro"/>
                              <w:jc w:val="center"/>
                            </w:pPr>
                            <w:r>
                              <w:rPr>
                                <w:sz w:val="18"/>
                                <w:szCs w:val="18"/>
                              </w:rPr>
                              <w:t>Parecer nº026/2018</w:t>
                            </w:r>
                          </w:p>
                          <w:p w:rsidR="006C5CE5" w:rsidRDefault="008821FD">
                            <w:pPr>
                              <w:pStyle w:val="Contedodoquadro"/>
                              <w:jc w:val="center"/>
                            </w:pPr>
                            <w:r>
                              <w:rPr>
                                <w:sz w:val="18"/>
                                <w:szCs w:val="18"/>
                              </w:rPr>
                              <w:t>Aprovado em 04/04/2018</w:t>
                            </w:r>
                          </w:p>
                        </w:txbxContent>
                      </wps:txbx>
                      <wps:bodyPr lIns="0" tIns="0" rIns="0" bIns="0" anchor="ctr">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tângulo 1" o:spid="_x0000_s1026" style="position:absolute;margin-left:379.4pt;margin-top:6.5pt;width:108.95pt;height:31.1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" filled="f">
                <v:textbox style="mso-fit-shape-to-text:t" inset="0,0,0,0">
                  <w:txbxContent>
                    <w:p w:rsidR="006C5CE5" w:rsidRDefault="008821FD">
                      <w:pPr>
                        <w:pStyle w:val="Contedodoquadro"/>
                        <w:jc w:val="center"/>
                      </w:pPr>
                      <w:r>
                        <w:rPr>
                          <w:sz w:val="18"/>
                          <w:szCs w:val="18"/>
                        </w:rPr>
                        <w:t>CONEP- UFSJ</w:t>
                      </w:r>
                    </w:p>
                    <w:p w:rsidR="006C5CE5" w:rsidRDefault="008821FD">
                      <w:pPr>
                        <w:pStyle w:val="Contedodoquadro"/>
                        <w:jc w:val="center"/>
                      </w:pPr>
                      <w:r>
                        <w:rPr>
                          <w:sz w:val="18"/>
                          <w:szCs w:val="18"/>
                        </w:rPr>
                        <w:t>Parecer nº026/2018</w:t>
                      </w:r>
                    </w:p>
                    <w:p w:rsidR="006C5CE5" w:rsidRDefault="008821FD">
                      <w:pPr>
                        <w:pStyle w:val="Contedodoquadro"/>
                        <w:jc w:val="center"/>
                      </w:pPr>
                      <w:r>
                        <w:rPr>
                          <w:sz w:val="18"/>
                          <w:szCs w:val="18"/>
                        </w:rPr>
                        <w:t>Aprovado em 04/04/2018</w:t>
                      </w:r>
                    </w:p>
                  </w:txbxContent>
                </v:textbox>
              </v:rect>
            </w:pict>
          </mc:Fallback>
        </mc:AlternateContent>
      </w:r>
      <w:r>
        <w:rPr>
          <w:spacing w:val="52"/>
          <w:position w:val="3"/>
          <w:sz w:val="20"/>
        </w:rPr>
        <w:t xml:space="preserve"> </w:t>
      </w:r>
      <w:r>
        <w:rPr>
          <w:spacing w:val="52"/>
          <w:sz w:val="20"/>
        </w:rPr>
        <w:tab/>
      </w:r>
    </w:p>
    <w:p w:rsidR="006C5CE5" w:rsidRDefault="008821FD">
      <w:pPr>
        <w:pStyle w:val="Corpodetexto"/>
        <w:spacing w:before="93" w:line="276" w:lineRule="auto"/>
        <w:ind w:left="2983" w:right="2734" w:hanging="528"/>
        <w:jc w:val="center"/>
      </w:pPr>
      <w:r>
        <w:rPr>
          <w:noProof/>
          <w:lang w:val="pt-BR" w:eastAsia="pt-BR"/>
        </w:rPr>
        <w:drawing>
          <wp:anchor distT="0" distB="0" distL="0" distR="0" simplePos="0" relativeHeight="7" behindDoc="0" locked="0" layoutInCell="1" allowOverlap="1">
            <wp:simplePos x="0" y="0"/>
            <wp:positionH relativeFrom="column">
              <wp:posOffset>59055</wp:posOffset>
            </wp:positionH>
            <wp:positionV relativeFrom="paragraph">
              <wp:posOffset>37465</wp:posOffset>
            </wp:positionV>
            <wp:extent cx="1299845" cy="374015"/>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6"/>
                    <a:stretch>
                      <a:fillRect/>
                    </a:stretch>
                  </pic:blipFill>
                  <pic:spPr bwMode="auto">
                    <a:xfrm>
                      <a:off x="0" y="0"/>
                      <a:ext cx="1299845" cy="374015"/>
                    </a:xfrm>
                    <a:prstGeom prst="rect">
                      <a:avLst/>
                    </a:prstGeom>
                  </pic:spPr>
                </pic:pic>
              </a:graphicData>
            </a:graphic>
          </wp:anchor>
        </w:drawing>
      </w:r>
      <w:r>
        <w:t xml:space="preserve"> PLANO DE ENSINO </w:t>
      </w:r>
    </w:p>
    <w:p w:rsidR="006C5CE5" w:rsidRDefault="008821FD">
      <w:pPr>
        <w:pStyle w:val="Corpodetexto"/>
        <w:spacing w:before="93" w:line="276" w:lineRule="auto"/>
        <w:ind w:left="2983" w:right="2734" w:hanging="528"/>
        <w:jc w:val="center"/>
      </w:pPr>
      <w:r>
        <w:t>(Resolução/CONEP nº 12, de 04/04/2018)</w:t>
      </w:r>
    </w:p>
    <w:p w:rsidR="006C5CE5" w:rsidRDefault="006C5CE5">
      <w:pPr>
        <w:pStyle w:val="Corpodetexto"/>
        <w:spacing w:before="10" w:after="1"/>
        <w:rPr>
          <w:sz w:val="22"/>
        </w:rPr>
      </w:pPr>
    </w:p>
    <w:tbl>
      <w:tblPr>
        <w:tblW w:w="9875" w:type="dxa"/>
        <w:tblInd w:w="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057"/>
        <w:gridCol w:w="1468"/>
        <w:gridCol w:w="1409"/>
        <w:gridCol w:w="1714"/>
        <w:gridCol w:w="344"/>
        <w:gridCol w:w="1220"/>
        <w:gridCol w:w="17"/>
        <w:gridCol w:w="1646"/>
      </w:tblGrid>
      <w:tr w:rsidR="006C5CE5" w:rsidTr="000E2246">
        <w:trPr>
          <w:trHeight w:val="914"/>
        </w:trPr>
        <w:tc>
          <w:tcPr>
            <w:tcW w:w="20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6C5CE5">
            <w:pPr>
              <w:pStyle w:val="TableParagraph"/>
              <w:spacing w:before="2" w:after="1"/>
              <w:rPr>
                <w:rFonts w:ascii="Arial" w:hAnsi="Arial"/>
                <w:b/>
                <w:sz w:val="24"/>
                <w:szCs w:val="24"/>
              </w:rPr>
            </w:pPr>
          </w:p>
          <w:p w:rsidR="006C5CE5" w:rsidRPr="00EA4865" w:rsidRDefault="008821FD">
            <w:pPr>
              <w:pStyle w:val="TableParagraph"/>
              <w:ind w:left="195"/>
              <w:rPr>
                <w:sz w:val="24"/>
                <w:szCs w:val="24"/>
              </w:rPr>
            </w:pPr>
            <w:r w:rsidRPr="00EA4865">
              <w:rPr>
                <w:noProof/>
                <w:sz w:val="24"/>
                <w:szCs w:val="24"/>
                <w:lang w:val="pt-BR" w:eastAsia="pt-BR"/>
              </w:rPr>
              <w:drawing>
                <wp:anchor distT="0" distB="0" distL="0" distR="0" simplePos="0" relativeHeight="3" behindDoc="0" locked="0" layoutInCell="1" allowOverlap="1">
                  <wp:simplePos x="0" y="0"/>
                  <wp:positionH relativeFrom="column">
                    <wp:posOffset>3810</wp:posOffset>
                  </wp:positionH>
                  <wp:positionV relativeFrom="paragraph">
                    <wp:posOffset>132080</wp:posOffset>
                  </wp:positionV>
                  <wp:extent cx="1299845" cy="374015"/>
                  <wp:effectExtent l="0" t="0" r="0" b="0"/>
                  <wp:wrapSquare wrapText="largest"/>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6"/>
                          <a:stretch>
                            <a:fillRect/>
                          </a:stretch>
                        </pic:blipFill>
                        <pic:spPr bwMode="auto">
                          <a:xfrm>
                            <a:off x="0" y="0"/>
                            <a:ext cx="1299845" cy="374015"/>
                          </a:xfrm>
                          <a:prstGeom prst="rect">
                            <a:avLst/>
                          </a:prstGeom>
                        </pic:spPr>
                      </pic:pic>
                    </a:graphicData>
                  </a:graphic>
                </wp:anchor>
              </w:drawing>
            </w:r>
          </w:p>
        </w:tc>
        <w:tc>
          <w:tcPr>
            <w:tcW w:w="7818"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6C5CE5">
            <w:pPr>
              <w:pStyle w:val="TableParagraph"/>
              <w:spacing w:line="276" w:lineRule="auto"/>
              <w:rPr>
                <w:b/>
                <w:sz w:val="24"/>
                <w:szCs w:val="24"/>
              </w:rPr>
            </w:pPr>
          </w:p>
          <w:p w:rsidR="006C5CE5" w:rsidRPr="00EA4865" w:rsidRDefault="006C5CE5">
            <w:pPr>
              <w:pStyle w:val="TableParagraph"/>
              <w:spacing w:line="276" w:lineRule="auto"/>
              <w:jc w:val="center"/>
              <w:rPr>
                <w:b/>
                <w:sz w:val="24"/>
                <w:szCs w:val="24"/>
              </w:rPr>
            </w:pPr>
            <w:bookmarkStart w:id="0" w:name="_GoBack"/>
            <w:bookmarkEnd w:id="0"/>
          </w:p>
          <w:p w:rsidR="006C5CE5" w:rsidRPr="00EA4865" w:rsidRDefault="008821FD">
            <w:pPr>
              <w:pStyle w:val="TableParagraph"/>
              <w:spacing w:line="276" w:lineRule="auto"/>
              <w:jc w:val="center"/>
              <w:rPr>
                <w:sz w:val="24"/>
                <w:szCs w:val="24"/>
              </w:rPr>
            </w:pPr>
            <w:r w:rsidRPr="00EA4865">
              <w:rPr>
                <w:b/>
                <w:sz w:val="24"/>
                <w:szCs w:val="24"/>
              </w:rPr>
              <w:t>C</w:t>
            </w:r>
            <w:r w:rsidR="005C7B71">
              <w:rPr>
                <w:b/>
                <w:sz w:val="24"/>
                <w:szCs w:val="24"/>
              </w:rPr>
              <w:t>OO</w:t>
            </w:r>
            <w:r w:rsidR="00526EC5">
              <w:rPr>
                <w:b/>
                <w:sz w:val="24"/>
                <w:szCs w:val="24"/>
              </w:rPr>
              <w:t>RDENADORIA DO CURSO DE TEATRO</w:t>
            </w:r>
          </w:p>
          <w:p w:rsidR="006C5CE5" w:rsidRPr="00EA4865" w:rsidRDefault="008821FD">
            <w:pPr>
              <w:pStyle w:val="TableParagraph"/>
              <w:spacing w:line="276" w:lineRule="auto"/>
              <w:jc w:val="center"/>
              <w:rPr>
                <w:b/>
                <w:sz w:val="24"/>
                <w:szCs w:val="24"/>
              </w:rPr>
            </w:pPr>
            <w:r w:rsidRPr="00EA4865">
              <w:rPr>
                <w:b/>
                <w:sz w:val="24"/>
                <w:szCs w:val="24"/>
              </w:rPr>
              <w:t>PLANO DE ENSINO</w:t>
            </w:r>
          </w:p>
        </w:tc>
      </w:tr>
      <w:tr w:rsidR="006C5CE5" w:rsidTr="000E2246">
        <w:trPr>
          <w:trHeight w:val="394"/>
        </w:trPr>
        <w:tc>
          <w:tcPr>
            <w:tcW w:w="6648"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rsidP="005C7B71">
            <w:pPr>
              <w:pStyle w:val="TableParagraph"/>
              <w:spacing w:before="104"/>
              <w:ind w:left="104"/>
              <w:rPr>
                <w:b/>
                <w:sz w:val="24"/>
                <w:szCs w:val="24"/>
              </w:rPr>
            </w:pPr>
            <w:proofErr w:type="spellStart"/>
            <w:r w:rsidRPr="00EA4865">
              <w:rPr>
                <w:b/>
                <w:sz w:val="24"/>
                <w:szCs w:val="24"/>
              </w:rPr>
              <w:t>Disciplina</w:t>
            </w:r>
            <w:proofErr w:type="spellEnd"/>
            <w:r w:rsidRPr="00EA4865">
              <w:rPr>
                <w:b/>
                <w:sz w:val="24"/>
                <w:szCs w:val="24"/>
              </w:rPr>
              <w:t>:</w:t>
            </w:r>
            <w:r w:rsidR="00EA4865" w:rsidRPr="00EA4865">
              <w:rPr>
                <w:b/>
                <w:sz w:val="24"/>
                <w:szCs w:val="24"/>
              </w:rPr>
              <w:t xml:space="preserve"> </w:t>
            </w:r>
            <w:proofErr w:type="spellStart"/>
            <w:r w:rsidR="00EA4865" w:rsidRPr="00EA4865">
              <w:rPr>
                <w:sz w:val="24"/>
                <w:szCs w:val="24"/>
              </w:rPr>
              <w:t>Língua</w:t>
            </w:r>
            <w:proofErr w:type="spellEnd"/>
            <w:r w:rsidR="00EA4865" w:rsidRPr="00EA4865">
              <w:rPr>
                <w:sz w:val="24"/>
                <w:szCs w:val="24"/>
              </w:rPr>
              <w:t xml:space="preserve"> </w:t>
            </w:r>
            <w:proofErr w:type="spellStart"/>
            <w:r w:rsidR="00EA4865" w:rsidRPr="00EA4865">
              <w:rPr>
                <w:sz w:val="24"/>
                <w:szCs w:val="24"/>
              </w:rPr>
              <w:t>Brasileira</w:t>
            </w:r>
            <w:proofErr w:type="spellEnd"/>
            <w:r w:rsidR="00EA4865" w:rsidRPr="00EA4865">
              <w:rPr>
                <w:sz w:val="24"/>
                <w:szCs w:val="24"/>
              </w:rPr>
              <w:t xml:space="preserve"> de Sinais (LIBRAS)</w:t>
            </w:r>
          </w:p>
        </w:tc>
        <w:tc>
          <w:tcPr>
            <w:tcW w:w="1581"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4"/>
              <w:ind w:left="105"/>
              <w:rPr>
                <w:b/>
                <w:sz w:val="24"/>
                <w:szCs w:val="24"/>
              </w:rPr>
            </w:pPr>
            <w:proofErr w:type="spellStart"/>
            <w:r w:rsidRPr="00EA4865">
              <w:rPr>
                <w:b/>
                <w:sz w:val="24"/>
                <w:szCs w:val="24"/>
              </w:rPr>
              <w:t>Período</w:t>
            </w:r>
            <w:proofErr w:type="spellEnd"/>
            <w:r w:rsidRPr="00EA4865">
              <w:rPr>
                <w:b/>
                <w:sz w:val="24"/>
                <w:szCs w:val="24"/>
              </w:rPr>
              <w:t>:</w:t>
            </w:r>
            <w:r w:rsidR="00EA4865" w:rsidRPr="00EA4865">
              <w:rPr>
                <w:b/>
                <w:sz w:val="24"/>
                <w:szCs w:val="24"/>
              </w:rPr>
              <w:t xml:space="preserve"> </w:t>
            </w:r>
            <w:r w:rsidR="005C7B71">
              <w:rPr>
                <w:sz w:val="24"/>
                <w:szCs w:val="24"/>
              </w:rPr>
              <w:t>2</w:t>
            </w:r>
            <w:r w:rsidR="00EA4865" w:rsidRPr="000E2246">
              <w:rPr>
                <w:sz w:val="24"/>
                <w:szCs w:val="24"/>
              </w:rPr>
              <w:t>º</w:t>
            </w:r>
          </w:p>
        </w:tc>
        <w:tc>
          <w:tcPr>
            <w:tcW w:w="16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4"/>
              <w:ind w:left="103"/>
              <w:rPr>
                <w:b/>
                <w:sz w:val="24"/>
                <w:szCs w:val="24"/>
              </w:rPr>
            </w:pPr>
            <w:r w:rsidRPr="00EA4865">
              <w:rPr>
                <w:b/>
                <w:sz w:val="24"/>
                <w:szCs w:val="24"/>
              </w:rPr>
              <w:t>Currículo:</w:t>
            </w:r>
            <w:r w:rsidR="00EA4865" w:rsidRPr="00EA4865">
              <w:rPr>
                <w:b/>
                <w:sz w:val="24"/>
                <w:szCs w:val="24"/>
              </w:rPr>
              <w:t xml:space="preserve"> </w:t>
            </w:r>
            <w:r w:rsidR="00EA4865" w:rsidRPr="000E2246">
              <w:rPr>
                <w:sz w:val="24"/>
                <w:szCs w:val="24"/>
              </w:rPr>
              <w:t>2019</w:t>
            </w:r>
          </w:p>
        </w:tc>
      </w:tr>
      <w:tr w:rsidR="006C5CE5" w:rsidTr="000E2246">
        <w:trPr>
          <w:trHeight w:val="393"/>
        </w:trPr>
        <w:tc>
          <w:tcPr>
            <w:tcW w:w="6648"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3"/>
              <w:ind w:left="104"/>
              <w:rPr>
                <w:b/>
                <w:sz w:val="24"/>
                <w:szCs w:val="24"/>
              </w:rPr>
            </w:pPr>
            <w:r w:rsidRPr="00EA4865">
              <w:rPr>
                <w:b/>
                <w:sz w:val="24"/>
                <w:szCs w:val="24"/>
              </w:rPr>
              <w:t>Docente</w:t>
            </w:r>
            <w:r w:rsidR="00EA4865" w:rsidRPr="00EA4865">
              <w:rPr>
                <w:b/>
                <w:sz w:val="24"/>
                <w:szCs w:val="24"/>
              </w:rPr>
              <w:t xml:space="preserve">: </w:t>
            </w:r>
            <w:r w:rsidR="00EA4865" w:rsidRPr="000E2246">
              <w:rPr>
                <w:sz w:val="24"/>
                <w:szCs w:val="24"/>
              </w:rPr>
              <w:t>Telma Rosa de Andrade</w:t>
            </w:r>
          </w:p>
        </w:tc>
        <w:tc>
          <w:tcPr>
            <w:tcW w:w="3227"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3"/>
              <w:ind w:left="105"/>
              <w:rPr>
                <w:b/>
                <w:sz w:val="24"/>
                <w:szCs w:val="24"/>
              </w:rPr>
            </w:pPr>
            <w:proofErr w:type="spellStart"/>
            <w:r w:rsidRPr="00EA4865">
              <w:rPr>
                <w:b/>
                <w:sz w:val="24"/>
                <w:szCs w:val="24"/>
              </w:rPr>
              <w:t>Unidade</w:t>
            </w:r>
            <w:proofErr w:type="spellEnd"/>
            <w:r w:rsidRPr="00EA4865">
              <w:rPr>
                <w:b/>
                <w:sz w:val="24"/>
                <w:szCs w:val="24"/>
              </w:rPr>
              <w:t xml:space="preserve"> </w:t>
            </w:r>
            <w:proofErr w:type="spellStart"/>
            <w:r w:rsidRPr="00EA4865">
              <w:rPr>
                <w:b/>
                <w:sz w:val="24"/>
                <w:szCs w:val="24"/>
              </w:rPr>
              <w:t>Acadêmica</w:t>
            </w:r>
            <w:proofErr w:type="spellEnd"/>
            <w:r w:rsidRPr="00EA4865">
              <w:rPr>
                <w:b/>
                <w:sz w:val="24"/>
                <w:szCs w:val="24"/>
              </w:rPr>
              <w:t>:</w:t>
            </w:r>
            <w:r w:rsidR="00EA4865" w:rsidRPr="00EA4865">
              <w:rPr>
                <w:b/>
                <w:sz w:val="24"/>
                <w:szCs w:val="24"/>
              </w:rPr>
              <w:t xml:space="preserve"> </w:t>
            </w:r>
            <w:proofErr w:type="spellStart"/>
            <w:r w:rsidR="00526EC5">
              <w:rPr>
                <w:sz w:val="24"/>
                <w:szCs w:val="24"/>
              </w:rPr>
              <w:t>Teatro</w:t>
            </w:r>
            <w:proofErr w:type="spellEnd"/>
            <w:r w:rsidR="00526EC5">
              <w:rPr>
                <w:sz w:val="24"/>
                <w:szCs w:val="24"/>
              </w:rPr>
              <w:t xml:space="preserve"> </w:t>
            </w:r>
          </w:p>
        </w:tc>
      </w:tr>
      <w:tr w:rsidR="006C5CE5" w:rsidTr="000E2246">
        <w:trPr>
          <w:trHeight w:val="394"/>
        </w:trPr>
        <w:tc>
          <w:tcPr>
            <w:tcW w:w="493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5"/>
              <w:ind w:left="104"/>
              <w:rPr>
                <w:b/>
                <w:sz w:val="24"/>
                <w:szCs w:val="24"/>
              </w:rPr>
            </w:pPr>
            <w:r w:rsidRPr="00EA4865">
              <w:rPr>
                <w:b/>
                <w:sz w:val="24"/>
                <w:szCs w:val="24"/>
              </w:rPr>
              <w:t>Pré-requisito:</w:t>
            </w:r>
          </w:p>
        </w:tc>
        <w:tc>
          <w:tcPr>
            <w:tcW w:w="4941"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5"/>
              <w:ind w:left="105"/>
              <w:rPr>
                <w:b/>
                <w:sz w:val="24"/>
                <w:szCs w:val="24"/>
              </w:rPr>
            </w:pPr>
            <w:r w:rsidRPr="00EA4865">
              <w:rPr>
                <w:b/>
                <w:sz w:val="24"/>
                <w:szCs w:val="24"/>
              </w:rPr>
              <w:t>Co-requisito: -</w:t>
            </w:r>
          </w:p>
        </w:tc>
      </w:tr>
      <w:tr w:rsidR="006C5CE5" w:rsidRPr="000E2246" w:rsidTr="000E2246">
        <w:trPr>
          <w:trHeight w:val="393"/>
        </w:trPr>
        <w:tc>
          <w:tcPr>
            <w:tcW w:w="20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0E2246" w:rsidRDefault="008821FD">
            <w:pPr>
              <w:pStyle w:val="TableParagraph"/>
              <w:spacing w:before="104"/>
              <w:ind w:left="104"/>
            </w:pPr>
            <w:r w:rsidRPr="000E2246">
              <w:rPr>
                <w:b/>
              </w:rPr>
              <w:t xml:space="preserve">C.H. Total: </w:t>
            </w:r>
            <w:r w:rsidR="00EA4865" w:rsidRPr="000E2246">
              <w:t>72H</w:t>
            </w:r>
          </w:p>
        </w:tc>
        <w:tc>
          <w:tcPr>
            <w:tcW w:w="146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0E2246" w:rsidRDefault="008821FD">
            <w:pPr>
              <w:pStyle w:val="TableParagraph"/>
              <w:spacing w:before="104"/>
              <w:ind w:left="103"/>
            </w:pPr>
            <w:r w:rsidRPr="000E2246">
              <w:rPr>
                <w:b/>
              </w:rPr>
              <w:t xml:space="preserve">C.H. Prática: </w:t>
            </w:r>
            <w:r w:rsidR="00EA4865" w:rsidRPr="000E2246">
              <w:t>36H</w:t>
            </w:r>
          </w:p>
          <w:p w:rsidR="006C5CE5" w:rsidRPr="000E2246" w:rsidRDefault="006C5CE5">
            <w:pPr>
              <w:pStyle w:val="TableParagraph"/>
              <w:spacing w:before="104"/>
              <w:ind w:left="103"/>
              <w:rPr>
                <w:b/>
              </w:rPr>
            </w:pP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0E2246" w:rsidRDefault="008821FD">
            <w:pPr>
              <w:pStyle w:val="TableParagraph"/>
              <w:spacing w:before="104"/>
              <w:ind w:left="104"/>
            </w:pPr>
            <w:r w:rsidRPr="000E2246">
              <w:rPr>
                <w:b/>
              </w:rPr>
              <w:t xml:space="preserve">C. H. Teórica: </w:t>
            </w:r>
            <w:r w:rsidR="00EA4865" w:rsidRPr="000E2246">
              <w:t>36H</w:t>
            </w:r>
          </w:p>
        </w:tc>
        <w:tc>
          <w:tcPr>
            <w:tcW w:w="205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A4865" w:rsidRPr="000E2246" w:rsidRDefault="008821FD">
            <w:pPr>
              <w:pStyle w:val="TableParagraph"/>
              <w:spacing w:before="104"/>
              <w:ind w:left="105"/>
            </w:pPr>
            <w:r w:rsidRPr="000E2246">
              <w:rPr>
                <w:b/>
              </w:rPr>
              <w:t>Grau</w:t>
            </w:r>
            <w:r w:rsidRPr="000E2246">
              <w:t>:</w:t>
            </w:r>
            <w:r w:rsidR="00EA4865" w:rsidRPr="000E2246">
              <w:t xml:space="preserve"> </w:t>
            </w:r>
          </w:p>
          <w:p w:rsidR="006C5CE5" w:rsidRPr="000E2246" w:rsidRDefault="00EA4865">
            <w:pPr>
              <w:pStyle w:val="TableParagraph"/>
              <w:spacing w:before="104"/>
              <w:ind w:left="105"/>
            </w:pPr>
            <w:r w:rsidRPr="000E2246">
              <w:t>Licenciatura</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0E2246" w:rsidRDefault="008821FD">
            <w:pPr>
              <w:pStyle w:val="TableParagraph"/>
              <w:spacing w:before="104"/>
              <w:ind w:left="103"/>
              <w:rPr>
                <w:b/>
              </w:rPr>
            </w:pPr>
            <w:r w:rsidRPr="000E2246">
              <w:rPr>
                <w:b/>
              </w:rPr>
              <w:t>Ano:</w:t>
            </w:r>
            <w:r w:rsidR="00EA4865" w:rsidRPr="000E2246">
              <w:rPr>
                <w:b/>
              </w:rPr>
              <w:t xml:space="preserve"> </w:t>
            </w:r>
            <w:r w:rsidR="00EA4865" w:rsidRPr="000E2246">
              <w:t>2019</w:t>
            </w:r>
          </w:p>
        </w:tc>
        <w:tc>
          <w:tcPr>
            <w:tcW w:w="166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0E2246" w:rsidRDefault="008821FD">
            <w:pPr>
              <w:pStyle w:val="TableParagraph"/>
              <w:spacing w:before="104"/>
              <w:ind w:left="105"/>
              <w:rPr>
                <w:b/>
              </w:rPr>
            </w:pPr>
            <w:proofErr w:type="spellStart"/>
            <w:r w:rsidRPr="000E2246">
              <w:rPr>
                <w:b/>
              </w:rPr>
              <w:t>Semestre</w:t>
            </w:r>
            <w:proofErr w:type="spellEnd"/>
            <w:r w:rsidRPr="000E2246">
              <w:rPr>
                <w:b/>
              </w:rPr>
              <w:t>:</w:t>
            </w:r>
            <w:r w:rsidR="00EA4865" w:rsidRPr="000E2246">
              <w:rPr>
                <w:b/>
              </w:rPr>
              <w:t xml:space="preserve"> </w:t>
            </w:r>
            <w:r w:rsidR="005C7B71">
              <w:t>2</w:t>
            </w:r>
            <w:r w:rsidR="00EA4865" w:rsidRPr="000E2246">
              <w:t>º</w:t>
            </w:r>
          </w:p>
        </w:tc>
      </w:tr>
      <w:tr w:rsidR="006C5CE5" w:rsidTr="000E2246">
        <w:trPr>
          <w:trHeight w:val="394"/>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3"/>
              <w:ind w:left="3587" w:right="3576"/>
              <w:jc w:val="center"/>
              <w:rPr>
                <w:b/>
                <w:sz w:val="24"/>
                <w:szCs w:val="24"/>
              </w:rPr>
            </w:pPr>
            <w:r w:rsidRPr="00EA4865">
              <w:rPr>
                <w:b/>
                <w:sz w:val="24"/>
                <w:szCs w:val="24"/>
              </w:rPr>
              <w:t>EMENTA</w:t>
            </w:r>
          </w:p>
        </w:tc>
      </w:tr>
      <w:tr w:rsidR="006C5CE5" w:rsidTr="000E2246">
        <w:trPr>
          <w:trHeight w:val="85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C628D" w:rsidRDefault="008C628D" w:rsidP="00EA4865">
            <w:pPr>
              <w:pStyle w:val="TableParagraph"/>
              <w:spacing w:before="126"/>
            </w:pPr>
          </w:p>
          <w:p w:rsidR="008C628D" w:rsidRDefault="008C628D" w:rsidP="008C628D">
            <w:pPr>
              <w:pStyle w:val="Corpodetexto"/>
              <w:ind w:right="-81"/>
              <w:jc w:val="both"/>
            </w:pPr>
            <w:r w:rsidRPr="007C61D6">
              <w:rPr>
                <w:b w:val="0"/>
              </w:rPr>
              <w:t>Aspectos linguísticos e teóricos da LIBRAS. Educação de surdos na formação de professores, realidade escolar e alteridade. Papel dos tradutores-intérpretes educacionais de Libras-Português. Legislação específica sobre LIBRAS e educação de surdos. Prática em LIBRAS: vocabulário geral e específico da área de atuação docente. E a cultura surda</w:t>
            </w:r>
            <w:r>
              <w:t>.</w:t>
            </w:r>
          </w:p>
          <w:p w:rsidR="008C628D" w:rsidRPr="00EA4865" w:rsidRDefault="008C628D" w:rsidP="00EA4865">
            <w:pPr>
              <w:pStyle w:val="TableParagraph"/>
              <w:spacing w:before="126"/>
              <w:rPr>
                <w:sz w:val="24"/>
                <w:szCs w:val="24"/>
              </w:rPr>
            </w:pPr>
          </w:p>
        </w:tc>
      </w:tr>
      <w:tr w:rsidR="006C5CE5" w:rsidTr="000E2246">
        <w:trPr>
          <w:trHeight w:val="393"/>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4"/>
              <w:ind w:left="3589" w:right="3576"/>
              <w:jc w:val="center"/>
              <w:rPr>
                <w:b/>
                <w:sz w:val="24"/>
                <w:szCs w:val="24"/>
              </w:rPr>
            </w:pPr>
            <w:r w:rsidRPr="00EA4865">
              <w:rPr>
                <w:b/>
                <w:sz w:val="24"/>
                <w:szCs w:val="24"/>
              </w:rPr>
              <w:t>OBJETIVOS</w:t>
            </w:r>
          </w:p>
        </w:tc>
      </w:tr>
      <w:tr w:rsidR="006C5CE5" w:rsidTr="000E2246">
        <w:trPr>
          <w:trHeight w:val="81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C61D6" w:rsidRDefault="007C61D6" w:rsidP="00E716A4">
            <w:pPr>
              <w:spacing w:line="276" w:lineRule="auto"/>
              <w:jc w:val="both"/>
            </w:pPr>
          </w:p>
          <w:p w:rsidR="00E716A4" w:rsidRDefault="007C61D6" w:rsidP="00E716A4">
            <w:pPr>
              <w:spacing w:line="276" w:lineRule="auto"/>
              <w:jc w:val="both"/>
            </w:pPr>
            <w:proofErr w:type="spellStart"/>
            <w:r>
              <w:t>Aumentar</w:t>
            </w:r>
            <w:proofErr w:type="spellEnd"/>
            <w:r>
              <w:t xml:space="preserve"> o</w:t>
            </w:r>
            <w:r w:rsidR="00E716A4" w:rsidRPr="000A6EC9">
              <w:t xml:space="preserve"> </w:t>
            </w:r>
            <w:proofErr w:type="spellStart"/>
            <w:r w:rsidR="00E716A4" w:rsidRPr="000A6EC9">
              <w:t>conhecimento</w:t>
            </w:r>
            <w:proofErr w:type="spellEnd"/>
            <w:r w:rsidR="00E716A4" w:rsidRPr="000A6EC9">
              <w:t xml:space="preserve"> </w:t>
            </w:r>
            <w:proofErr w:type="spellStart"/>
            <w:r w:rsidR="00E716A4" w:rsidRPr="000A6EC9">
              <w:t>teórico</w:t>
            </w:r>
            <w:proofErr w:type="spellEnd"/>
            <w:r w:rsidR="00E716A4" w:rsidRPr="000A6EC9">
              <w:t xml:space="preserve"> e prático sobre a comunidade surda e sua língua. Desenvolver atividades que proporcionem contato dos alunos com a comunidade surda, a fim de ampliar o vocabulário na língua de sinais. Motivar os alunos no aprendizado, destacando a importância da língua no ensino para alunos surdos.</w:t>
            </w:r>
          </w:p>
          <w:p w:rsidR="00E716A4" w:rsidRPr="00EA4865" w:rsidRDefault="00E716A4" w:rsidP="00EA4865">
            <w:pPr>
              <w:pStyle w:val="TableParagraph"/>
              <w:spacing w:before="105"/>
              <w:rPr>
                <w:sz w:val="24"/>
                <w:szCs w:val="24"/>
              </w:rPr>
            </w:pPr>
          </w:p>
        </w:tc>
      </w:tr>
      <w:tr w:rsidR="006C5CE5" w:rsidTr="000E2246">
        <w:trPr>
          <w:trHeight w:val="393"/>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4"/>
              <w:ind w:left="3596" w:right="3576"/>
              <w:jc w:val="center"/>
              <w:rPr>
                <w:b/>
                <w:sz w:val="24"/>
                <w:szCs w:val="24"/>
              </w:rPr>
            </w:pPr>
            <w:r w:rsidRPr="00EA4865">
              <w:rPr>
                <w:b/>
                <w:sz w:val="24"/>
                <w:szCs w:val="24"/>
              </w:rPr>
              <w:t>CONTEÚDO PROGRAMÁTICO</w:t>
            </w:r>
          </w:p>
        </w:tc>
      </w:tr>
      <w:tr w:rsidR="006C5CE5" w:rsidTr="000E2246">
        <w:trPr>
          <w:trHeight w:val="79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6C5CE5">
            <w:pPr>
              <w:pStyle w:val="TableParagraph"/>
              <w:spacing w:before="3"/>
              <w:rPr>
                <w:rFonts w:ascii="Arial" w:hAnsi="Arial"/>
                <w:b/>
                <w:sz w:val="24"/>
                <w:szCs w:val="24"/>
              </w:rPr>
            </w:pPr>
          </w:p>
          <w:p w:rsidR="00EA4865" w:rsidRDefault="00EA4865" w:rsidP="00EA4865">
            <w:pPr>
              <w:pStyle w:val="TableParagraph"/>
              <w:numPr>
                <w:ilvl w:val="0"/>
                <w:numId w:val="1"/>
              </w:numPr>
              <w:spacing w:before="1"/>
            </w:pPr>
            <w:r w:rsidRPr="00EA4865">
              <w:rPr>
                <w:b/>
              </w:rPr>
              <w:t>Fundamento da Educação dos surdos</w:t>
            </w:r>
            <w:r>
              <w:t xml:space="preserve"> </w:t>
            </w:r>
          </w:p>
          <w:p w:rsidR="00EA4865" w:rsidRDefault="00EA4865" w:rsidP="00EA4865">
            <w:pPr>
              <w:pStyle w:val="TableParagraph"/>
              <w:spacing w:before="1"/>
              <w:ind w:left="464"/>
            </w:pPr>
            <w:r>
              <w:t xml:space="preserve"> Mitos da língua de Sinais Histórico da língua de Sinais no mundo e no Brasil Identidade e Cultura Surda Bilinguismo e surdez: a evolução dos conceitos no domínio da linguagem</w:t>
            </w:r>
          </w:p>
          <w:p w:rsidR="00EA4865" w:rsidRDefault="00EA4865">
            <w:pPr>
              <w:pStyle w:val="TableParagraph"/>
              <w:spacing w:before="1"/>
              <w:ind w:left="104"/>
            </w:pPr>
          </w:p>
          <w:p w:rsidR="00EA4865" w:rsidRDefault="00EA4865" w:rsidP="00EA4865">
            <w:pPr>
              <w:pStyle w:val="TableParagraph"/>
              <w:numPr>
                <w:ilvl w:val="0"/>
                <w:numId w:val="1"/>
              </w:numPr>
              <w:spacing w:before="1"/>
            </w:pPr>
            <w:r w:rsidRPr="00EA4865">
              <w:rPr>
                <w:b/>
              </w:rPr>
              <w:t>Aspectos gramaticais da língua de Sinais I</w:t>
            </w:r>
            <w:r>
              <w:t xml:space="preserve"> </w:t>
            </w:r>
          </w:p>
          <w:p w:rsidR="00EA4865" w:rsidRDefault="00EA4865" w:rsidP="00EA4865">
            <w:pPr>
              <w:pStyle w:val="TableParagraph"/>
              <w:spacing w:before="1"/>
              <w:ind w:left="464"/>
            </w:pPr>
            <w:r>
              <w:t xml:space="preserve">O léxico na língua de sinais Parâmetros da Língua de Sinais( Fonologia) Vocabulário básico Sistema Pronominal Tipos de Frases Tipos de Verbos Adjetivos </w:t>
            </w:r>
          </w:p>
          <w:p w:rsidR="00EA4865" w:rsidRDefault="00EA4865">
            <w:pPr>
              <w:pStyle w:val="TableParagraph"/>
              <w:spacing w:before="1"/>
              <w:ind w:left="104"/>
            </w:pPr>
          </w:p>
          <w:p w:rsidR="00EA4865" w:rsidRDefault="00EA4865" w:rsidP="00EA4865">
            <w:pPr>
              <w:pStyle w:val="TableParagraph"/>
              <w:numPr>
                <w:ilvl w:val="0"/>
                <w:numId w:val="1"/>
              </w:numPr>
              <w:spacing w:before="1"/>
              <w:rPr>
                <w:b/>
              </w:rPr>
            </w:pPr>
            <w:r w:rsidRPr="00EA4865">
              <w:rPr>
                <w:b/>
              </w:rPr>
              <w:t>Aspectos das gramaticais da língua de Sinais II</w:t>
            </w:r>
          </w:p>
          <w:p w:rsidR="00EA4865" w:rsidRDefault="00EA4865" w:rsidP="00EA4865">
            <w:pPr>
              <w:pStyle w:val="TableParagraph"/>
              <w:spacing w:before="1"/>
              <w:ind w:left="464"/>
            </w:pPr>
            <w:r>
              <w:t xml:space="preserve"> Língua Portuguesa X Língua de Sinais Brasileira Tradução Libras – Língua Portuguesa Tradução Língua Portuguesa - Libras Variações lingüísticas Iconicidade e Arbitrariedade Estrutura Sintática Classificadores.</w:t>
            </w:r>
          </w:p>
          <w:p w:rsidR="00EA4865" w:rsidRDefault="00EA4865">
            <w:pPr>
              <w:pStyle w:val="TableParagraph"/>
              <w:spacing w:before="1"/>
              <w:ind w:left="104"/>
            </w:pPr>
          </w:p>
          <w:p w:rsidR="00EA4865" w:rsidRDefault="00EA4865" w:rsidP="00EA4865">
            <w:pPr>
              <w:pStyle w:val="TableParagraph"/>
              <w:numPr>
                <w:ilvl w:val="0"/>
                <w:numId w:val="1"/>
              </w:numPr>
              <w:spacing w:before="1"/>
            </w:pPr>
            <w:r w:rsidRPr="00EA4865">
              <w:rPr>
                <w:b/>
              </w:rPr>
              <w:t>Educação dos surdos na formação dos professores</w:t>
            </w:r>
            <w:r>
              <w:t xml:space="preserve"> </w:t>
            </w:r>
          </w:p>
          <w:p w:rsidR="006C5CE5" w:rsidRPr="00EA4865" w:rsidRDefault="00EA4865" w:rsidP="00EA4865">
            <w:pPr>
              <w:pStyle w:val="TableParagraph"/>
              <w:numPr>
                <w:ilvl w:val="0"/>
                <w:numId w:val="1"/>
              </w:numPr>
              <w:spacing w:before="1"/>
              <w:rPr>
                <w:sz w:val="24"/>
                <w:szCs w:val="24"/>
              </w:rPr>
            </w:pPr>
            <w:r>
              <w:t>Relações de poderes no espaço multicultural da escola para surdos A postura do professor frente ao aluno surdo- posicionamento da escola e dos familiares A representação social da surdez entre o mundo acadêmico e o cotidiano escolar Aprendizagem escolares algumas considerações na perspectiva da pedagogia para surdos</w:t>
            </w:r>
          </w:p>
        </w:tc>
      </w:tr>
      <w:tr w:rsidR="006C5CE5" w:rsidTr="000E2246">
        <w:trPr>
          <w:trHeight w:val="393"/>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5"/>
              <w:ind w:left="3596" w:right="3576"/>
              <w:jc w:val="center"/>
              <w:rPr>
                <w:b/>
                <w:sz w:val="24"/>
                <w:szCs w:val="24"/>
              </w:rPr>
            </w:pPr>
            <w:r w:rsidRPr="00EA4865">
              <w:rPr>
                <w:b/>
                <w:sz w:val="24"/>
                <w:szCs w:val="24"/>
              </w:rPr>
              <w:t>METODOLOGIA DE ENSINO</w:t>
            </w:r>
          </w:p>
        </w:tc>
      </w:tr>
      <w:tr w:rsidR="006C5CE5" w:rsidTr="000E2246">
        <w:trPr>
          <w:trHeight w:val="79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EA4865" w:rsidP="00EA4865">
            <w:pPr>
              <w:pStyle w:val="TableParagraph"/>
              <w:rPr>
                <w:sz w:val="24"/>
                <w:szCs w:val="24"/>
              </w:rPr>
            </w:pPr>
            <w:r>
              <w:lastRenderedPageBreak/>
              <w:t>O conteúdo ministrado será por meio de aula expositiva do conteúdo com uso de data show, aplicação de provas escritas, participação em sala de aula por meio de discussão dos tópicos abordados e apresentação de seminários.</w:t>
            </w:r>
          </w:p>
        </w:tc>
      </w:tr>
      <w:tr w:rsidR="006C5CE5" w:rsidTr="000E2246">
        <w:trPr>
          <w:trHeight w:val="393"/>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3"/>
              <w:ind w:left="3596" w:right="3576"/>
              <w:jc w:val="center"/>
              <w:rPr>
                <w:b/>
                <w:sz w:val="24"/>
                <w:szCs w:val="24"/>
              </w:rPr>
            </w:pPr>
            <w:r w:rsidRPr="00EA4865">
              <w:rPr>
                <w:b/>
                <w:sz w:val="24"/>
                <w:szCs w:val="24"/>
              </w:rPr>
              <w:t>CRITÉRIOS DE AVALIAÇÃO</w:t>
            </w:r>
          </w:p>
        </w:tc>
      </w:tr>
      <w:tr w:rsidR="006C5CE5" w:rsidTr="000E2246">
        <w:trPr>
          <w:trHeight w:val="81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36D13" w:rsidRDefault="00236D13" w:rsidP="00EA4865">
            <w:pPr>
              <w:pStyle w:val="TableParagraph"/>
              <w:spacing w:before="104"/>
            </w:pPr>
          </w:p>
          <w:p w:rsidR="006C5CE5" w:rsidRDefault="00EA4865" w:rsidP="00EA4865">
            <w:pPr>
              <w:pStyle w:val="TableParagraph"/>
              <w:spacing w:before="104"/>
              <w:rPr>
                <w:b/>
              </w:rPr>
            </w:pPr>
            <w:r>
              <w:t>A avaliação será contabilizada da seguinte forma: Provas escritas (2 avaliações com valor de 3,0 pontos cada), Atividade teórica em sala de aula (1,0 ponto), Atividade prática em LIBRAS (1,0 ponto) e 1 seminário (2,0 pontos) totalizando 10 pontos. Avaliações substitutivas (2 avaliações com valor de 3,0 pontos cada).</w:t>
            </w:r>
            <w:r w:rsidRPr="00EA4865">
              <w:rPr>
                <w:b/>
              </w:rPr>
              <w:t xml:space="preserve"> Será aprovado o aluno que obtiver pontuação maior ou igual a 6,0. (Reg. Geral - Art. 65)</w:t>
            </w:r>
            <w:r w:rsidR="00236D13">
              <w:rPr>
                <w:b/>
              </w:rPr>
              <w:t>.</w:t>
            </w:r>
          </w:p>
          <w:p w:rsidR="00236D13" w:rsidRPr="00EA4865" w:rsidRDefault="00236D13" w:rsidP="00EA4865">
            <w:pPr>
              <w:pStyle w:val="TableParagraph"/>
              <w:spacing w:before="104"/>
              <w:rPr>
                <w:sz w:val="24"/>
                <w:szCs w:val="24"/>
              </w:rPr>
            </w:pPr>
          </w:p>
        </w:tc>
      </w:tr>
      <w:tr w:rsidR="006C5CE5" w:rsidTr="000E2246">
        <w:trPr>
          <w:trHeight w:val="394"/>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3"/>
              <w:ind w:left="3595" w:right="3576"/>
              <w:jc w:val="center"/>
              <w:rPr>
                <w:b/>
                <w:sz w:val="24"/>
                <w:szCs w:val="24"/>
              </w:rPr>
            </w:pPr>
            <w:r w:rsidRPr="00EA4865">
              <w:rPr>
                <w:b/>
                <w:sz w:val="24"/>
                <w:szCs w:val="24"/>
              </w:rPr>
              <w:t>BIBLIOGRAFIA BÁSICA</w:t>
            </w:r>
          </w:p>
        </w:tc>
      </w:tr>
      <w:tr w:rsidR="006C5CE5" w:rsidTr="000E2246">
        <w:trPr>
          <w:trHeight w:val="79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E2246" w:rsidRDefault="000E2246">
            <w:pPr>
              <w:pStyle w:val="TableParagraph"/>
              <w:spacing w:before="105"/>
              <w:ind w:left="104"/>
            </w:pPr>
          </w:p>
          <w:p w:rsidR="000E2246" w:rsidRDefault="000E2246">
            <w:pPr>
              <w:pStyle w:val="TableParagraph"/>
              <w:spacing w:before="105"/>
              <w:ind w:left="104"/>
            </w:pPr>
            <w:r>
              <w:t xml:space="preserve">CAPOVILLA, Fernando César; RAPHAEL, Walkíria Duarte. Dicionário Enciclopédico Ilustrado Trilíngüe da Língua de Sinais Brasileira, Volumes I e II. 3 ed. São Paulo: Editora da Universidade de São Paulo, 2001. </w:t>
            </w:r>
          </w:p>
          <w:p w:rsidR="000E2246" w:rsidRDefault="000E2246">
            <w:pPr>
              <w:pStyle w:val="TableParagraph"/>
              <w:spacing w:before="105"/>
              <w:ind w:left="104"/>
            </w:pPr>
          </w:p>
          <w:p w:rsidR="000E2246" w:rsidRDefault="000E2246">
            <w:pPr>
              <w:pStyle w:val="TableParagraph"/>
              <w:spacing w:before="105"/>
              <w:ind w:left="104"/>
            </w:pPr>
            <w:r>
              <w:t xml:space="preserve">FELIPE, Tanya A. &amp; MONTEIRO, Myrna S. LIBRAS em Contexto: Curso Básico. 5. Ed. ver. Ministério da Educação, Secretaria de Educação Especial. Brasília, 2004. </w:t>
            </w:r>
          </w:p>
          <w:p w:rsidR="000E2246" w:rsidRDefault="000E2246">
            <w:pPr>
              <w:pStyle w:val="TableParagraph"/>
              <w:spacing w:before="105"/>
              <w:ind w:left="104"/>
            </w:pPr>
          </w:p>
          <w:p w:rsidR="000E2246" w:rsidRDefault="000E2246">
            <w:pPr>
              <w:pStyle w:val="TableParagraph"/>
              <w:spacing w:before="105"/>
              <w:ind w:left="104"/>
            </w:pPr>
            <w:r>
              <w:t>LACERDA, Cristina Broglia Feitosa de. O Intérprete Educacional de língua de sinais no Ensino Fundamental: refletindo sobre limites e possibilidades. In LODI. Ana Claúdia B. HARRISON.</w:t>
            </w:r>
          </w:p>
          <w:p w:rsidR="000E2246" w:rsidRDefault="000E2246">
            <w:pPr>
              <w:pStyle w:val="TableParagraph"/>
              <w:spacing w:before="105"/>
              <w:ind w:left="104"/>
            </w:pPr>
          </w:p>
          <w:p w:rsidR="000E2246" w:rsidRDefault="000E2246">
            <w:pPr>
              <w:pStyle w:val="TableParagraph"/>
              <w:spacing w:before="105"/>
              <w:ind w:left="104"/>
            </w:pPr>
            <w:r>
              <w:t xml:space="preserve"> GESSER, A. LIBRAS? Que língua é essa?: crenças e preconceitos em torno da língua de sinais e da realidade surda. São Paulo: Parábola Editorial, 2009. </w:t>
            </w:r>
          </w:p>
          <w:p w:rsidR="000E2246" w:rsidRDefault="000E2246">
            <w:pPr>
              <w:pStyle w:val="TableParagraph"/>
              <w:spacing w:before="105"/>
              <w:ind w:left="104"/>
            </w:pPr>
          </w:p>
          <w:p w:rsidR="006C5CE5" w:rsidRDefault="000E2246">
            <w:pPr>
              <w:pStyle w:val="TableParagraph"/>
              <w:spacing w:before="105"/>
              <w:ind w:left="104"/>
            </w:pPr>
            <w:r>
              <w:t>STROBEL, Karin. As imagens do outro sobre a cultura surda. 2. ed. rev. Florianópolis: Ed. da UFSC, 2009. QUADROS, Ronice Müller de; KARNOPP, Lodenir. Língua de sinais brasileira: estudos lingüísticos. Porto Alegre: ARTMED, 2004.</w:t>
            </w:r>
          </w:p>
          <w:p w:rsidR="000E2246" w:rsidRPr="00EA4865" w:rsidRDefault="000E2246">
            <w:pPr>
              <w:pStyle w:val="TableParagraph"/>
              <w:spacing w:before="105"/>
              <w:ind w:left="104"/>
              <w:rPr>
                <w:sz w:val="24"/>
                <w:szCs w:val="24"/>
              </w:rPr>
            </w:pPr>
          </w:p>
        </w:tc>
      </w:tr>
      <w:tr w:rsidR="006C5CE5" w:rsidTr="000E2246">
        <w:trPr>
          <w:trHeight w:val="394"/>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spacing w:before="104"/>
              <w:ind w:left="3597" w:right="3576"/>
              <w:jc w:val="center"/>
              <w:rPr>
                <w:b/>
                <w:sz w:val="24"/>
                <w:szCs w:val="24"/>
              </w:rPr>
            </w:pPr>
            <w:r w:rsidRPr="00EA4865">
              <w:rPr>
                <w:b/>
                <w:sz w:val="24"/>
                <w:szCs w:val="24"/>
              </w:rPr>
              <w:t>BIBLIOGRAFIA COMPLEMENTAR</w:t>
            </w:r>
          </w:p>
        </w:tc>
      </w:tr>
      <w:tr w:rsidR="006C5CE5" w:rsidTr="000E2246">
        <w:trPr>
          <w:trHeight w:val="1010"/>
        </w:trPr>
        <w:tc>
          <w:tcPr>
            <w:tcW w:w="9875" w:type="dxa"/>
            <w:gridSpan w:val="8"/>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E2246" w:rsidRDefault="000E2246">
            <w:pPr>
              <w:pStyle w:val="TableParagraph"/>
              <w:spacing w:before="10"/>
            </w:pPr>
            <w:r>
              <w:t>BRASIL. Lei nº 10.436, de 24/04/2002.</w:t>
            </w:r>
          </w:p>
          <w:p w:rsidR="000E2246" w:rsidRDefault="000E2246">
            <w:pPr>
              <w:pStyle w:val="TableParagraph"/>
              <w:spacing w:before="10"/>
            </w:pPr>
          </w:p>
          <w:p w:rsidR="000E2246" w:rsidRDefault="000E2246">
            <w:pPr>
              <w:pStyle w:val="TableParagraph"/>
              <w:spacing w:before="10"/>
            </w:pPr>
            <w:r>
              <w:t xml:space="preserve"> BRASIL. Decreto nº 5.626, de 22/12/2005. </w:t>
            </w:r>
          </w:p>
          <w:p w:rsidR="000E2246" w:rsidRDefault="000E2246">
            <w:pPr>
              <w:pStyle w:val="TableParagraph"/>
              <w:spacing w:before="10"/>
            </w:pPr>
          </w:p>
          <w:p w:rsidR="000E2246" w:rsidRDefault="000E2246">
            <w:pPr>
              <w:pStyle w:val="TableParagraph"/>
              <w:spacing w:before="10"/>
            </w:pPr>
            <w:r>
              <w:t>Kathryn M. P. CAMPOS, Sandra R. L. de. TESKE, Ottmar. (organizadores) Letramento e Minorias. Porto Alegre: Editora Mediação, 2002.</w:t>
            </w:r>
          </w:p>
          <w:p w:rsidR="000E2246" w:rsidRDefault="000E2246">
            <w:pPr>
              <w:pStyle w:val="TableParagraph"/>
              <w:spacing w:before="10"/>
            </w:pPr>
          </w:p>
          <w:p w:rsidR="000E2246" w:rsidRDefault="000E2246">
            <w:pPr>
              <w:pStyle w:val="TableParagraph"/>
              <w:spacing w:before="10"/>
            </w:pPr>
            <w:r>
              <w:t xml:space="preserve"> LODI, Ana Claudia B. et al. (Orgs.) Letramento e minorias. Porto Alegre: Editora Mediação, 2002.</w:t>
            </w:r>
          </w:p>
          <w:p w:rsidR="000E2246" w:rsidRDefault="000E2246">
            <w:pPr>
              <w:pStyle w:val="TableParagraph"/>
              <w:spacing w:before="10"/>
            </w:pPr>
          </w:p>
          <w:p w:rsidR="000E2246" w:rsidRDefault="000E2246">
            <w:pPr>
              <w:pStyle w:val="TableParagraph"/>
              <w:spacing w:before="10"/>
            </w:pPr>
            <w:r>
              <w:t xml:space="preserve"> LODI, Ana C. B.; HARRISON, Kathrin M. P.; CAMPOS, Sandra, R. L. Leitura e escrita no contexto da diversidade. Porto Alegre: Mediação, 2004. </w:t>
            </w:r>
          </w:p>
          <w:p w:rsidR="000E2246" w:rsidRDefault="000E2246">
            <w:pPr>
              <w:pStyle w:val="TableParagraph"/>
              <w:spacing w:before="10"/>
            </w:pPr>
          </w:p>
          <w:p w:rsidR="000E2246" w:rsidRDefault="000E2246">
            <w:pPr>
              <w:pStyle w:val="TableParagraph"/>
              <w:spacing w:before="10"/>
            </w:pPr>
            <w:r>
              <w:t>QUADROS, Ronice. M. et al. Estudos Surdos I, II, III e IV – Série de Pesquisas. Editora Arara Azul. Rio de Janeiro. QUADROS, Ronice. M. de &amp; KARNOPP, L. B. Língua de Sinais Brasileira: Estudos lingüísticos. Porto Alegre. Artes Médicas. 2004.</w:t>
            </w:r>
          </w:p>
          <w:p w:rsidR="000E2246" w:rsidRDefault="000E2246">
            <w:pPr>
              <w:pStyle w:val="TableParagraph"/>
              <w:spacing w:before="10"/>
            </w:pPr>
          </w:p>
          <w:p w:rsidR="006C5CE5" w:rsidRPr="00EA4865" w:rsidRDefault="000E2246">
            <w:pPr>
              <w:pStyle w:val="TableParagraph"/>
              <w:spacing w:before="10"/>
              <w:rPr>
                <w:rFonts w:ascii="Arial" w:hAnsi="Arial"/>
                <w:b/>
                <w:sz w:val="24"/>
                <w:szCs w:val="24"/>
              </w:rPr>
            </w:pPr>
            <w:r>
              <w:t xml:space="preserve"> SKLIAR, Carlos B. A Surdez: um olhar sobre as diferenças. Editora Mediação. Porto Alegre. 1998.</w:t>
            </w:r>
          </w:p>
          <w:p w:rsidR="006C5CE5" w:rsidRPr="00EA4865" w:rsidRDefault="006C5CE5">
            <w:pPr>
              <w:pStyle w:val="TableParagraph"/>
              <w:ind w:left="104"/>
              <w:rPr>
                <w:sz w:val="24"/>
                <w:szCs w:val="24"/>
              </w:rPr>
            </w:pPr>
          </w:p>
        </w:tc>
      </w:tr>
      <w:tr w:rsidR="006C5CE5" w:rsidTr="000E2246">
        <w:trPr>
          <w:trHeight w:val="1001"/>
        </w:trPr>
        <w:tc>
          <w:tcPr>
            <w:tcW w:w="493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6C5CE5">
            <w:pPr>
              <w:pStyle w:val="TableParagraph"/>
              <w:rPr>
                <w:rFonts w:ascii="Arial" w:hAnsi="Arial"/>
                <w:b/>
                <w:sz w:val="24"/>
                <w:szCs w:val="24"/>
              </w:rPr>
            </w:pPr>
          </w:p>
          <w:p w:rsidR="006C5CE5" w:rsidRPr="00EA4865" w:rsidRDefault="006C5CE5">
            <w:pPr>
              <w:pStyle w:val="TableParagraph"/>
              <w:spacing w:before="8"/>
              <w:rPr>
                <w:rFonts w:ascii="Arial" w:hAnsi="Arial"/>
                <w:b/>
                <w:sz w:val="24"/>
                <w:szCs w:val="24"/>
              </w:rPr>
            </w:pPr>
          </w:p>
          <w:p w:rsidR="006C5CE5" w:rsidRPr="00EA4865" w:rsidRDefault="008821FD">
            <w:pPr>
              <w:pStyle w:val="TableParagraph"/>
              <w:spacing w:line="20" w:lineRule="exact"/>
              <w:ind w:left="1216"/>
              <w:rPr>
                <w:sz w:val="24"/>
                <w:szCs w:val="24"/>
              </w:rPr>
            </w:pPr>
            <w:r w:rsidRPr="00EA4865">
              <w:rPr>
                <w:noProof/>
                <w:sz w:val="24"/>
                <w:szCs w:val="24"/>
                <w:lang w:val="pt-BR" w:eastAsia="pt-BR"/>
              </w:rPr>
              <mc:AlternateContent>
                <mc:Choice Requires="wpg">
                  <w:drawing>
                    <wp:inline distT="0" distB="0" distL="0" distR="0">
                      <wp:extent cx="1578610" cy="635"/>
                      <wp:effectExtent l="0" t="0" r="0" b="0"/>
                      <wp:docPr id="5" name="Agrupar 5"/>
                      <wp:cNvGraphicFramePr/>
                      <a:graphic xmlns:a="http://schemas.openxmlformats.org/drawingml/2006/main">
                        <a:graphicData uri="http://schemas.microsoft.com/office/word/2010/wordprocessingGroup">
                          <wpg:wgp>
                            <wpg:cNvGrpSpPr/>
                            <wpg:grpSpPr>
                              <a:xfrm>
                                <a:off x="0" y="0"/>
                                <a:ext cx="1577880" cy="0"/>
                                <a:chOff x="0" y="0"/>
                                <a:chExt cx="0" cy="0"/>
                              </a:xfrm>
                            </wpg:grpSpPr>
                            <wps:wsp>
                              <wps:cNvPr id="2" name="Conector reto 2"/>
                              <wps:cNvCnPr/>
                              <wps:spPr>
                                <a:xfrm>
                                  <a:off x="0" y="0"/>
                                  <a:ext cx="1577880" cy="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C2B041" id="Agrupar 5" o:spid="_x0000_s1026" style="width:124.3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">
                      <v:line id="Conector reto 2" o:spid="_x0000_s1027" style="position:absolute;visibility:visible;mso-wrap-style:square" from="0,0" to="1577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" strokeweight=".11mm"/>
                      <w10:anchorlock/>
                    </v:group>
                  </w:pict>
                </mc:Fallback>
              </mc:AlternateContent>
            </w:r>
          </w:p>
          <w:p w:rsidR="006C5CE5" w:rsidRPr="00EA4865" w:rsidRDefault="008821FD">
            <w:pPr>
              <w:pStyle w:val="TableParagraph"/>
              <w:ind w:left="1751" w:right="1741"/>
              <w:jc w:val="center"/>
              <w:rPr>
                <w:sz w:val="24"/>
                <w:szCs w:val="24"/>
              </w:rPr>
            </w:pPr>
            <w:r w:rsidRPr="00EA4865">
              <w:rPr>
                <w:sz w:val="24"/>
                <w:szCs w:val="24"/>
              </w:rPr>
              <w:t>Docente Responsável</w:t>
            </w:r>
          </w:p>
        </w:tc>
        <w:tc>
          <w:tcPr>
            <w:tcW w:w="4941"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5CE5" w:rsidRPr="00EA4865" w:rsidRDefault="008821FD">
            <w:pPr>
              <w:pStyle w:val="TableParagraph"/>
              <w:tabs>
                <w:tab w:val="left" w:pos="2341"/>
                <w:tab w:val="left" w:pos="2871"/>
              </w:tabs>
              <w:spacing w:before="103"/>
              <w:ind w:left="13"/>
              <w:jc w:val="center"/>
              <w:rPr>
                <w:sz w:val="24"/>
                <w:szCs w:val="24"/>
              </w:rPr>
            </w:pPr>
            <w:r w:rsidRPr="00EA4865">
              <w:rPr>
                <w:sz w:val="24"/>
                <w:szCs w:val="24"/>
              </w:rPr>
              <w:t>Aprovado pelo Colegiado em</w:t>
            </w:r>
            <w:r w:rsidR="000E2246">
              <w:rPr>
                <w:sz w:val="24"/>
                <w:szCs w:val="24"/>
              </w:rPr>
              <w:t xml:space="preserve"> </w:t>
            </w:r>
            <w:r w:rsidRPr="00EA4865">
              <w:rPr>
                <w:sz w:val="24"/>
                <w:szCs w:val="24"/>
              </w:rPr>
              <w:tab/>
              <w:t xml:space="preserve">/    </w:t>
            </w:r>
            <w:r w:rsidRPr="00EA4865">
              <w:rPr>
                <w:spacing w:val="1"/>
                <w:sz w:val="24"/>
                <w:szCs w:val="24"/>
              </w:rPr>
              <w:t xml:space="preserve"> </w:t>
            </w:r>
            <w:r w:rsidRPr="00EA4865">
              <w:rPr>
                <w:sz w:val="24"/>
                <w:szCs w:val="24"/>
              </w:rPr>
              <w:t>/</w:t>
            </w:r>
            <w:r w:rsidRPr="00EA4865">
              <w:rPr>
                <w:sz w:val="24"/>
                <w:szCs w:val="24"/>
              </w:rPr>
              <w:tab/>
              <w:t>.</w:t>
            </w:r>
          </w:p>
          <w:p w:rsidR="006C5CE5" w:rsidRPr="00EA4865" w:rsidRDefault="006C5CE5">
            <w:pPr>
              <w:pStyle w:val="TableParagraph"/>
              <w:rPr>
                <w:rFonts w:ascii="Arial" w:hAnsi="Arial"/>
                <w:b/>
                <w:sz w:val="24"/>
                <w:szCs w:val="24"/>
              </w:rPr>
            </w:pPr>
          </w:p>
          <w:p w:rsidR="006C5CE5" w:rsidRPr="00EA4865" w:rsidRDefault="006C5CE5">
            <w:pPr>
              <w:pStyle w:val="TableParagraph"/>
              <w:spacing w:before="4"/>
              <w:rPr>
                <w:rFonts w:ascii="Arial" w:hAnsi="Arial"/>
                <w:b/>
                <w:sz w:val="24"/>
                <w:szCs w:val="24"/>
              </w:rPr>
            </w:pPr>
          </w:p>
          <w:p w:rsidR="006C5CE5" w:rsidRPr="00EA4865" w:rsidRDefault="008821FD">
            <w:pPr>
              <w:pStyle w:val="TableParagraph"/>
              <w:spacing w:line="20" w:lineRule="exact"/>
              <w:ind w:left="991"/>
              <w:rPr>
                <w:sz w:val="24"/>
                <w:szCs w:val="24"/>
              </w:rPr>
            </w:pPr>
            <w:r w:rsidRPr="00EA4865">
              <w:rPr>
                <w:noProof/>
                <w:sz w:val="24"/>
                <w:szCs w:val="24"/>
                <w:lang w:val="pt-BR" w:eastAsia="pt-BR"/>
              </w:rPr>
              <mc:AlternateContent>
                <mc:Choice Requires="wpg">
                  <w:drawing>
                    <wp:inline distT="0" distB="0" distL="0" distR="0">
                      <wp:extent cx="1883410" cy="635"/>
                      <wp:effectExtent l="0" t="0" r="0" b="0"/>
                      <wp:docPr id="6" name="Agrupar 6"/>
                      <wp:cNvGraphicFramePr/>
                      <a:graphic xmlns:a="http://schemas.openxmlformats.org/drawingml/2006/main">
                        <a:graphicData uri="http://schemas.microsoft.com/office/word/2010/wordprocessingGroup">
                          <wpg:wgp>
                            <wpg:cNvGrpSpPr/>
                            <wpg:grpSpPr>
                              <a:xfrm>
                                <a:off x="0" y="0"/>
                                <a:ext cx="1882800" cy="0"/>
                                <a:chOff x="0" y="0"/>
                                <a:chExt cx="0" cy="0"/>
                              </a:xfrm>
                            </wpg:grpSpPr>
                            <wps:wsp>
                              <wps:cNvPr id="7" name="Conector reto 7"/>
                              <wps:cNvCnPr/>
                              <wps:spPr>
                                <a:xfrm>
                                  <a:off x="0" y="0"/>
                                  <a:ext cx="1882800" cy="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B5DBE3" id="Agrupar 6" o:spid="_x0000_s1026" style="width:148.3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">
                      <v:line id="Conector reto 7" o:spid="_x0000_s1027" style="position:absolute;visibility:visible;mso-wrap-style:square" from="0,0" to="1882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" strokeweight=".11mm"/>
                      <w10:anchorlock/>
                    </v:group>
                  </w:pict>
                </mc:Fallback>
              </mc:AlternateContent>
            </w:r>
          </w:p>
          <w:p w:rsidR="006C5CE5" w:rsidRPr="00EA4865" w:rsidRDefault="008821FD">
            <w:pPr>
              <w:pStyle w:val="TableParagraph"/>
              <w:ind w:left="12"/>
              <w:jc w:val="center"/>
              <w:rPr>
                <w:sz w:val="24"/>
                <w:szCs w:val="24"/>
              </w:rPr>
            </w:pPr>
            <w:r w:rsidRPr="00EA4865">
              <w:rPr>
                <w:sz w:val="24"/>
                <w:szCs w:val="24"/>
              </w:rPr>
              <w:t>Coordenador do Curso</w:t>
            </w:r>
          </w:p>
        </w:tc>
      </w:tr>
    </w:tbl>
    <w:p w:rsidR="006C5CE5" w:rsidRDefault="006C5CE5">
      <w:pPr>
        <w:pStyle w:val="Corpodetexto"/>
        <w:rPr>
          <w:sz w:val="22"/>
        </w:rPr>
      </w:pPr>
    </w:p>
    <w:p w:rsidR="006C5CE5" w:rsidRDefault="006C5CE5">
      <w:pPr>
        <w:pStyle w:val="Corpodetexto"/>
        <w:rPr>
          <w:sz w:val="22"/>
        </w:rPr>
      </w:pPr>
    </w:p>
    <w:p w:rsidR="006C5CE5" w:rsidRDefault="006C5CE5">
      <w:pPr>
        <w:pStyle w:val="Corpodetexto"/>
        <w:rPr>
          <w:sz w:val="22"/>
        </w:rPr>
      </w:pPr>
    </w:p>
    <w:p w:rsidR="006C5CE5" w:rsidRDefault="006C5CE5">
      <w:pPr>
        <w:pStyle w:val="Corpodetexto"/>
        <w:spacing w:before="2"/>
        <w:rPr>
          <w:sz w:val="25"/>
        </w:rPr>
      </w:pPr>
    </w:p>
    <w:p w:rsidR="006C5CE5" w:rsidRDefault="006C5CE5">
      <w:pPr>
        <w:ind w:right="527"/>
        <w:jc w:val="right"/>
      </w:pPr>
    </w:p>
    <w:sectPr w:rsidR="006C5CE5">
      <w:pgSz w:w="11906" w:h="16838"/>
      <w:pgMar w:top="440" w:right="660" w:bottom="280" w:left="11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A6A"/>
    <w:multiLevelType w:val="hybridMultilevel"/>
    <w:tmpl w:val="BD9A66A8"/>
    <w:lvl w:ilvl="0" w:tplc="BE18120C">
      <w:start w:val="1"/>
      <w:numFmt w:val="decimal"/>
      <w:lvlText w:val="%1)"/>
      <w:lvlJc w:val="left"/>
      <w:pPr>
        <w:ind w:left="464" w:hanging="360"/>
      </w:pPr>
      <w:rPr>
        <w:rFonts w:hint="default"/>
      </w:rPr>
    </w:lvl>
    <w:lvl w:ilvl="1" w:tplc="04160019" w:tentative="1">
      <w:start w:val="1"/>
      <w:numFmt w:val="lowerLetter"/>
      <w:lvlText w:val="%2."/>
      <w:lvlJc w:val="left"/>
      <w:pPr>
        <w:ind w:left="1184" w:hanging="360"/>
      </w:pPr>
    </w:lvl>
    <w:lvl w:ilvl="2" w:tplc="0416001B" w:tentative="1">
      <w:start w:val="1"/>
      <w:numFmt w:val="lowerRoman"/>
      <w:lvlText w:val="%3."/>
      <w:lvlJc w:val="right"/>
      <w:pPr>
        <w:ind w:left="1904" w:hanging="180"/>
      </w:pPr>
    </w:lvl>
    <w:lvl w:ilvl="3" w:tplc="0416000F" w:tentative="1">
      <w:start w:val="1"/>
      <w:numFmt w:val="decimal"/>
      <w:lvlText w:val="%4."/>
      <w:lvlJc w:val="left"/>
      <w:pPr>
        <w:ind w:left="2624" w:hanging="360"/>
      </w:pPr>
    </w:lvl>
    <w:lvl w:ilvl="4" w:tplc="04160019" w:tentative="1">
      <w:start w:val="1"/>
      <w:numFmt w:val="lowerLetter"/>
      <w:lvlText w:val="%5."/>
      <w:lvlJc w:val="left"/>
      <w:pPr>
        <w:ind w:left="3344" w:hanging="360"/>
      </w:pPr>
    </w:lvl>
    <w:lvl w:ilvl="5" w:tplc="0416001B" w:tentative="1">
      <w:start w:val="1"/>
      <w:numFmt w:val="lowerRoman"/>
      <w:lvlText w:val="%6."/>
      <w:lvlJc w:val="right"/>
      <w:pPr>
        <w:ind w:left="4064" w:hanging="180"/>
      </w:pPr>
    </w:lvl>
    <w:lvl w:ilvl="6" w:tplc="0416000F" w:tentative="1">
      <w:start w:val="1"/>
      <w:numFmt w:val="decimal"/>
      <w:lvlText w:val="%7."/>
      <w:lvlJc w:val="left"/>
      <w:pPr>
        <w:ind w:left="4784" w:hanging="360"/>
      </w:pPr>
    </w:lvl>
    <w:lvl w:ilvl="7" w:tplc="04160019" w:tentative="1">
      <w:start w:val="1"/>
      <w:numFmt w:val="lowerLetter"/>
      <w:lvlText w:val="%8."/>
      <w:lvlJc w:val="left"/>
      <w:pPr>
        <w:ind w:left="5504" w:hanging="360"/>
      </w:pPr>
    </w:lvl>
    <w:lvl w:ilvl="8" w:tplc="0416001B" w:tentative="1">
      <w:start w:val="1"/>
      <w:numFmt w:val="lowerRoman"/>
      <w:lvlText w:val="%9."/>
      <w:lvlJc w:val="right"/>
      <w:pPr>
        <w:ind w:left="6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E5"/>
    <w:rsid w:val="000E2246"/>
    <w:rsid w:val="00236D13"/>
    <w:rsid w:val="00526EC5"/>
    <w:rsid w:val="005C7B71"/>
    <w:rsid w:val="006C5CE5"/>
    <w:rsid w:val="007C61D6"/>
    <w:rsid w:val="008821FD"/>
    <w:rsid w:val="008C628D"/>
    <w:rsid w:val="00E716A4"/>
    <w:rsid w:val="00EA48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imes New Roman" w:eastAsia="Times New Roman" w:hAnsi="Times New Roman"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uiPriority w:val="10"/>
    <w:qFormat/>
    <w:pPr>
      <w:keepNext/>
      <w:spacing w:before="240" w:after="120"/>
    </w:pPr>
    <w:rPr>
      <w:rFonts w:ascii="Liberation Sans" w:eastAsia="Droid Sans Fallback" w:hAnsi="Liberation Sans" w:cs="FreeSans"/>
      <w:sz w:val="28"/>
      <w:szCs w:val="28"/>
    </w:rPr>
  </w:style>
  <w:style w:type="paragraph" w:styleId="Corpodetexto">
    <w:name w:val="Body Text"/>
    <w:basedOn w:val="Normal"/>
    <w:rPr>
      <w:rFonts w:ascii="Arial" w:eastAsia="Arial" w:hAnsi="Arial" w:cs="Arial"/>
      <w:b/>
      <w:bCs/>
      <w:sz w:val="20"/>
      <w:szCs w:val="20"/>
    </w:r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argrafodaLista">
    <w:name w:val="List Paragraph"/>
    <w:basedOn w:val="Normal"/>
    <w:qFormat/>
  </w:style>
  <w:style w:type="paragraph" w:customStyle="1" w:styleId="TableParagraph">
    <w:name w:val="Table Paragraph"/>
    <w:basedOn w:val="Normal"/>
    <w:qFormat/>
  </w:style>
  <w:style w:type="paragraph" w:customStyle="1" w:styleId="Contedodatabela">
    <w:name w:val="Conteúdo da tabela"/>
    <w:basedOn w:val="Normal"/>
    <w:qFormat/>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imes New Roman" w:eastAsia="Times New Roman" w:hAnsi="Times New Roman"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uiPriority w:val="10"/>
    <w:qFormat/>
    <w:pPr>
      <w:keepNext/>
      <w:spacing w:before="240" w:after="120"/>
    </w:pPr>
    <w:rPr>
      <w:rFonts w:ascii="Liberation Sans" w:eastAsia="Droid Sans Fallback" w:hAnsi="Liberation Sans" w:cs="FreeSans"/>
      <w:sz w:val="28"/>
      <w:szCs w:val="28"/>
    </w:rPr>
  </w:style>
  <w:style w:type="paragraph" w:styleId="Corpodetexto">
    <w:name w:val="Body Text"/>
    <w:basedOn w:val="Normal"/>
    <w:rPr>
      <w:rFonts w:ascii="Arial" w:eastAsia="Arial" w:hAnsi="Arial" w:cs="Arial"/>
      <w:b/>
      <w:bCs/>
      <w:sz w:val="20"/>
      <w:szCs w:val="20"/>
    </w:r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argrafodaLista">
    <w:name w:val="List Paragraph"/>
    <w:basedOn w:val="Normal"/>
    <w:qFormat/>
  </w:style>
  <w:style w:type="paragraph" w:customStyle="1" w:styleId="TableParagraph">
    <w:name w:val="Table Paragraph"/>
    <w:basedOn w:val="Normal"/>
    <w:qFormat/>
  </w:style>
  <w:style w:type="paragraph" w:customStyle="1" w:styleId="Contedodatabela">
    <w:name w:val="Conteúdo da tabela"/>
    <w:basedOn w:val="Normal"/>
    <w:qFormat/>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expressions</cp:lastModifiedBy>
  <cp:revision>2</cp:revision>
  <dcterms:created xsi:type="dcterms:W3CDTF">2019-07-02T19:54:00Z</dcterms:created>
  <dcterms:modified xsi:type="dcterms:W3CDTF">2019-07-02T19:54:00Z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2018-06-14T00:00:00Z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2018-06-14T00:00:00Z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